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212D4" w14:textId="77777777" w:rsidR="00C309D2"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10 IN THE NEW HEAVEN AND NEW EARTH WE ARE ALL OVERCOMERS</w:t>
      </w:r>
      <w:r>
        <w:rPr>
          <w:rFonts w:ascii="Times New Roman" w:hAnsi="Times New Roman" w:cs="Times New Roman"/>
          <w:b/>
          <w:color w:val="0C3388"/>
          <w:sz w:val="24"/>
          <w:szCs w:val="24"/>
        </w:rPr>
        <w:t>】</w:t>
      </w:r>
    </w:p>
    <w:p w14:paraId="1862BD3B" w14:textId="77777777" w:rsidR="00C309D2" w:rsidRDefault="00C309D2">
      <w:pPr>
        <w:rPr>
          <w:rFonts w:ascii="Times New Roman" w:hAnsi="Times New Roman" w:cs="Times New Roman"/>
          <w:b/>
          <w:color w:val="0C3388"/>
          <w:sz w:val="24"/>
          <w:szCs w:val="24"/>
        </w:rPr>
      </w:pPr>
    </w:p>
    <w:p w14:paraId="33AA4C3C" w14:textId="77777777" w:rsidR="00C309D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21:6, “I will give to him who thirsts from the spring of the water of life freely.” The emphasis here is not upon redemption but upon our need for God. The meaning of thirst is a need for God. To be without God means that we are without water. Therefore, the fountain of the water of life is for the satisfaction of those who are thirsty.</w:t>
      </w:r>
    </w:p>
    <w:p w14:paraId="2A0C6968" w14:textId="77777777" w:rsidR="00C309D2" w:rsidRDefault="00C309D2">
      <w:pPr>
        <w:ind w:firstLineChars="200" w:firstLine="480"/>
        <w:rPr>
          <w:rFonts w:ascii="Times New Roman" w:hAnsi="Times New Roman" w:cs="Times New Roman"/>
          <w:color w:val="000000"/>
          <w:sz w:val="24"/>
          <w:szCs w:val="24"/>
        </w:rPr>
      </w:pPr>
    </w:p>
    <w:p w14:paraId="056642F8" w14:textId="77777777" w:rsidR="00C309D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Now we must pay close attention to verse 7. How we thank God for the especially precious promise in this verse, telling us what the overcomers will obtain. The overcomers spoken of here are different from those mentioned in Revelation 2 and 3. The overcomers in chapters two and three are a group from the whole church, while the overcomers spoken of here are connected with “him who thirsts.” The preceding verse says, “I will give to him who thirsts from the spring of the water of life freely.” Then verse 7 says, “He who overcomes will inherit these things.” In other words, those who drink of the fountain of the water of life are the overcomers spoken of here. These overcomers differ from those who do not drink of this water. This kind of overcoming is the same as that which is spoken of in 1 John 5:4: “For everything that has been begotten of God overcomes the world; and this is the victory which has overcome the world—our faith.” Those who are begotten of God, those who belong to the Lord, have faith. Those who do not belong to the Lord do not have faith. And this faith causes us to overcome the world. This surely should make us glad and make us rejoice and shout, Hallelujah! In the new heaven and new </w:t>
      </w:r>
      <w:proofErr w:type="gramStart"/>
      <w:r>
        <w:rPr>
          <w:rFonts w:ascii="Times New Roman" w:hAnsi="Times New Roman" w:cs="Times New Roman"/>
          <w:color w:val="000000"/>
          <w:sz w:val="24"/>
          <w:szCs w:val="24"/>
        </w:rPr>
        <w:t>earth</w:t>
      </w:r>
      <w:proofErr w:type="gramEnd"/>
      <w:r>
        <w:rPr>
          <w:rFonts w:ascii="Times New Roman" w:hAnsi="Times New Roman" w:cs="Times New Roman"/>
          <w:color w:val="000000"/>
          <w:sz w:val="24"/>
          <w:szCs w:val="24"/>
        </w:rPr>
        <w:t xml:space="preserve"> we are all overcomers! The man-child in the age of the kingdom is constituted of a minority, but in the New Jerusalem, the entire Body overcomes. In the New Jerusalem it is only a matter of whether or not we have faith. If we have faith, we are an overcomer.</w:t>
      </w:r>
    </w:p>
    <w:p w14:paraId="72A0802A" w14:textId="77777777" w:rsidR="00C309D2" w:rsidRDefault="00C309D2">
      <w:pPr>
        <w:ind w:firstLineChars="200" w:firstLine="480"/>
        <w:rPr>
          <w:rFonts w:ascii="Times New Roman" w:hAnsi="Times New Roman" w:cs="Times New Roman"/>
          <w:color w:val="000000"/>
          <w:sz w:val="24"/>
          <w:szCs w:val="24"/>
        </w:rPr>
      </w:pPr>
    </w:p>
    <w:p w14:paraId="204905C7" w14:textId="77777777" w:rsidR="00C309D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In that day God will wipe away every tear from our eyes; and death will be no more, neither will there be sorrow, crying, or pain anymore, for the former things have passed away. But all these things are negative aspects. The positive is that “He will tabernacle with them, and they will be His peoples.” In verse 7 God also says, “I will be God to him, and he will be a son to Me.” Therefore, our position before God as Christians is not only as people, but as sons. God wants to have many sons enter into glory. We thank and praise God that He said, “I will be God to him, and he will be a son to Me.” There is no higher blessing in eternity than this.</w:t>
      </w:r>
    </w:p>
    <w:p w14:paraId="4AA17B3C" w14:textId="77777777" w:rsidR="00C309D2" w:rsidRDefault="00C309D2">
      <w:pPr>
        <w:ind w:firstLineChars="200" w:firstLine="480"/>
        <w:rPr>
          <w:rFonts w:ascii="Times New Roman" w:hAnsi="Times New Roman" w:cs="Times New Roman"/>
          <w:color w:val="000000"/>
          <w:sz w:val="24"/>
          <w:szCs w:val="24"/>
        </w:rPr>
      </w:pPr>
    </w:p>
    <w:p w14:paraId="1738D683" w14:textId="77777777" w:rsidR="00C309D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8 says, “But the cowardly and unbelieving and abominable and murderers and fornicators and sorcerers and idolaters and all the false, their part will be in the lake which burns with fire and brimstone, which is the second death.” Just as the blessing in eternity is a fact, so the punishment in eternity is also a fact. The punishment from the God of love is unavoidable and inescapable. This is a severe warning to everyone.</w:t>
      </w:r>
    </w:p>
    <w:p w14:paraId="11D39424" w14:textId="77777777" w:rsidR="00C309D2" w:rsidRDefault="00C309D2">
      <w:pPr>
        <w:rPr>
          <w:rFonts w:ascii="Times New Roman" w:hAnsi="Times New Roman" w:cs="Times New Roman"/>
          <w:color w:val="000000"/>
          <w:sz w:val="24"/>
          <w:szCs w:val="24"/>
        </w:rPr>
      </w:pPr>
    </w:p>
    <w:p w14:paraId="6540B480" w14:textId="2657FA56" w:rsidR="00C309D2"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17-10</w:t>
      </w:r>
      <w:r>
        <w:rPr>
          <w:rFonts w:ascii="Times New Roman" w:hAnsi="Times New Roman" w:cs="Times New Roman"/>
          <w:color w:val="000000"/>
          <w:sz w:val="24"/>
          <w:szCs w:val="24"/>
        </w:rPr>
        <w:t>)</w:t>
      </w:r>
    </w:p>
    <w:sectPr w:rsidR="00C309D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4FD1" w14:textId="77777777" w:rsidR="004D7581" w:rsidRDefault="004D7581" w:rsidP="00EB431A">
      <w:r>
        <w:separator/>
      </w:r>
    </w:p>
  </w:endnote>
  <w:endnote w:type="continuationSeparator" w:id="0">
    <w:p w14:paraId="34FB8623" w14:textId="77777777" w:rsidR="004D7581" w:rsidRDefault="004D7581" w:rsidP="00EB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3F32" w14:textId="77777777" w:rsidR="004D7581" w:rsidRDefault="004D7581" w:rsidP="00EB431A">
      <w:r>
        <w:separator/>
      </w:r>
    </w:p>
  </w:footnote>
  <w:footnote w:type="continuationSeparator" w:id="0">
    <w:p w14:paraId="5E80CC8A" w14:textId="77777777" w:rsidR="004D7581" w:rsidRDefault="004D7581" w:rsidP="00EB43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4563C0"/>
    <w:rsid w:val="004B5210"/>
    <w:rsid w:val="004D7581"/>
    <w:rsid w:val="005744F5"/>
    <w:rsid w:val="005E240C"/>
    <w:rsid w:val="006117E3"/>
    <w:rsid w:val="0063006E"/>
    <w:rsid w:val="00653FB9"/>
    <w:rsid w:val="006F3FA9"/>
    <w:rsid w:val="007D57E7"/>
    <w:rsid w:val="00867F62"/>
    <w:rsid w:val="00995497"/>
    <w:rsid w:val="00A13516"/>
    <w:rsid w:val="00AC67FA"/>
    <w:rsid w:val="00BC4ADB"/>
    <w:rsid w:val="00BE2254"/>
    <w:rsid w:val="00C06D6C"/>
    <w:rsid w:val="00C309D2"/>
    <w:rsid w:val="00CC50FA"/>
    <w:rsid w:val="00DE2100"/>
    <w:rsid w:val="00EB431A"/>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9BFE3"/>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